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352C34" w14:textId="77777777" w:rsidR="00430275" w:rsidRPr="00C42823" w:rsidRDefault="00430275" w:rsidP="00C42823">
      <w:pPr>
        <w:pStyle w:val="Titre1"/>
        <w:rPr>
          <w:rFonts w:ascii="Arial" w:hAnsi="Arial" w:cs="Arial"/>
          <w:color w:val="0096DC"/>
          <w:sz w:val="28"/>
          <w:szCs w:val="28"/>
        </w:rPr>
      </w:pPr>
      <w:r w:rsidRPr="00C42823">
        <w:rPr>
          <w:rFonts w:ascii="Arial" w:hAnsi="Arial" w:cs="Arial"/>
          <w:color w:val="0096DC"/>
          <w:sz w:val="28"/>
          <w:szCs w:val="28"/>
        </w:rPr>
        <w:t>Placement du prix de cession sur des contrat</w:t>
      </w:r>
      <w:bookmarkStart w:id="0" w:name="_GoBack"/>
      <w:bookmarkEnd w:id="0"/>
      <w:r w:rsidRPr="00C42823">
        <w:rPr>
          <w:rFonts w:ascii="Arial" w:hAnsi="Arial" w:cs="Arial"/>
          <w:color w:val="0096DC"/>
          <w:sz w:val="28"/>
          <w:szCs w:val="28"/>
        </w:rPr>
        <w:t>s d'assurance vie</w:t>
      </w:r>
    </w:p>
    <w:p w14:paraId="13EDB902" w14:textId="77777777" w:rsidR="00430275" w:rsidRPr="00C42823" w:rsidRDefault="00430275" w:rsidP="00C428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96DC"/>
          <w:sz w:val="20"/>
          <w:szCs w:val="20"/>
        </w:rPr>
      </w:pPr>
    </w:p>
    <w:p w14:paraId="21DF4DC8" w14:textId="77777777" w:rsidR="00731AE0" w:rsidRPr="00C42823" w:rsidRDefault="00731AE0" w:rsidP="00C428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96DC"/>
        </w:rPr>
      </w:pPr>
      <w:r w:rsidRPr="00C42823">
        <w:rPr>
          <w:rFonts w:ascii="Arial" w:hAnsi="Arial" w:cs="Arial"/>
          <w:color w:val="0096DC"/>
        </w:rPr>
        <w:t>LE PLACEMENT DU PRIX DE CESSION : L’ASSURANCE-VIE</w:t>
      </w:r>
    </w:p>
    <w:p w14:paraId="0EB7B326" w14:textId="77777777" w:rsidR="00731AE0" w:rsidRPr="00C42823" w:rsidRDefault="00731AE0" w:rsidP="00C428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86062D7" w14:textId="0232A0DA" w:rsidR="00430275" w:rsidRPr="00C42823" w:rsidRDefault="00731AE0" w:rsidP="00C428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42823">
        <w:rPr>
          <w:rFonts w:ascii="Arial" w:hAnsi="Arial" w:cs="Arial"/>
          <w:color w:val="000000"/>
          <w:sz w:val="20"/>
          <w:szCs w:val="20"/>
        </w:rPr>
        <w:t>L’assurance-vie est un outil d’épargne et de transmission combinant de nombreux atouts qui en font toujours l’un des placements préférés des Français : une fiscalité attractive, la liquidité, la souplesse de la gestion financière, du rendement, la liberté dans le choix des bénéficiaires.</w:t>
      </w:r>
    </w:p>
    <w:p w14:paraId="6B516CD6" w14:textId="77777777" w:rsidR="003D7DD4" w:rsidRPr="00C42823" w:rsidRDefault="003D7DD4" w:rsidP="00C428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4BCA81F" w14:textId="77777777" w:rsidR="00430275" w:rsidRPr="00C42823" w:rsidRDefault="00731AE0" w:rsidP="00C428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42823">
        <w:rPr>
          <w:rFonts w:ascii="Arial" w:hAnsi="Arial" w:cs="Arial"/>
          <w:color w:val="000000"/>
          <w:sz w:val="20"/>
          <w:szCs w:val="20"/>
        </w:rPr>
        <w:t xml:space="preserve">Placer tout ou partie du prix de cession de son entreprise dans un contrat d’assurance-vie pour prévoir un complément de revenus à la retraite, organiser ou optimiser fiscalement sa succession est une stratégie patrimoniale quasi-incontournable… Même si le rendement des fonds en euros s’est tassé ces dernières années, l’assurance-vie reste un placement avec une prime de risque très intéressante. Les contrats d'assurance-vie </w:t>
      </w:r>
      <w:r w:rsidRPr="00C42823">
        <w:rPr>
          <w:rFonts w:ascii="Arial" w:hAnsi="Arial" w:cs="Arial"/>
          <w:sz w:val="20"/>
          <w:szCs w:val="20"/>
        </w:rPr>
        <w:t>multisupports permettant aux</w:t>
      </w:r>
      <w:r w:rsidRPr="00C428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épargnants d'accéder à un large choix</w:t>
      </w:r>
      <w:r w:rsidRPr="00C428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d'investissements : des fonds en euros et</w:t>
      </w:r>
      <w:r w:rsidRPr="00C428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des unités de compte.</w:t>
      </w:r>
      <w:r w:rsidRPr="00C42823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348A9B2F" w14:textId="77777777" w:rsidR="00430275" w:rsidRPr="00C42823" w:rsidRDefault="00731AE0" w:rsidP="00C428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42823">
        <w:rPr>
          <w:rFonts w:ascii="Arial" w:hAnsi="Arial" w:cs="Arial"/>
          <w:sz w:val="20"/>
          <w:szCs w:val="20"/>
        </w:rPr>
        <w:t>Ces derniers peuvent, par exemple,</w:t>
      </w:r>
      <w:r w:rsidRPr="00C428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comprendre des obligations,</w:t>
      </w:r>
      <w:r w:rsidRPr="00C428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des actifs monétaires, des fonds</w:t>
      </w:r>
      <w:r w:rsidRPr="00C428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flexibles ou encore de l'immobilier.</w:t>
      </w:r>
      <w:r w:rsidRPr="00C428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Cette diversité peut être également</w:t>
      </w:r>
      <w:r w:rsidRPr="00C428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géographique (Europe, États-Unis...)</w:t>
      </w:r>
      <w:r w:rsidRPr="00C428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ou sectorielle (industrie, santé, énergie,</w:t>
      </w:r>
      <w:r w:rsidRPr="00C428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télécommunication...).</w:t>
      </w:r>
      <w:r w:rsidRPr="00C42823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4701F75" w14:textId="77777777" w:rsidR="00430275" w:rsidRPr="00C42823" w:rsidRDefault="00430275" w:rsidP="00C428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C73ACFD" w14:textId="77777777" w:rsidR="00430275" w:rsidRPr="00C42823" w:rsidRDefault="00731AE0" w:rsidP="00C428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42823">
        <w:rPr>
          <w:rFonts w:ascii="Arial" w:hAnsi="Arial" w:cs="Arial"/>
          <w:sz w:val="20"/>
          <w:szCs w:val="20"/>
        </w:rPr>
        <w:t>Mais attention, la recherche de</w:t>
      </w:r>
      <w:r w:rsidRPr="00C428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performance suppose une prise de</w:t>
      </w:r>
      <w:r w:rsidRPr="00C428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risque. En effet, les unités de compte</w:t>
      </w:r>
      <w:r w:rsidRPr="00C428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n'offrent pas, comme les fonds en euros,</w:t>
      </w:r>
      <w:r w:rsidRPr="00C428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une garantie en capital. Ainsi, en cas de</w:t>
      </w:r>
      <w:r w:rsidRPr="00C428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dégradation des marchés, leur valeur</w:t>
      </w:r>
      <w:r w:rsidRPr="00C428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peut fortement diminuer.</w:t>
      </w:r>
      <w:r w:rsidRPr="00C428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C'est la raison pour laquelle il convient de</w:t>
      </w:r>
      <w:r w:rsidRPr="00C428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les conserver sur une longue période afin</w:t>
      </w:r>
      <w:r w:rsidRPr="00C428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de lisser la performance dans le temps.</w:t>
      </w:r>
      <w:r w:rsidRPr="00C42823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CC02574" w14:textId="77777777" w:rsidR="00430275" w:rsidRPr="00C42823" w:rsidRDefault="00430275" w:rsidP="00C428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26987D1" w14:textId="77777777" w:rsidR="00731AE0" w:rsidRPr="00C42823" w:rsidRDefault="00731AE0" w:rsidP="00C428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42823">
        <w:rPr>
          <w:rFonts w:ascii="Arial" w:hAnsi="Arial" w:cs="Arial"/>
          <w:sz w:val="20"/>
          <w:szCs w:val="20"/>
        </w:rPr>
        <w:t>Autre point fort de l'assurance-vie,</w:t>
      </w:r>
      <w:r w:rsidRPr="00C428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la fiscalité. Une fiscalité qui a évolué.</w:t>
      </w:r>
      <w:r w:rsidRPr="00C428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En effet, en 2018, la fiscalité de</w:t>
      </w:r>
      <w:r w:rsidRPr="00C428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l’assurance-vie en cas de retrait a</w:t>
      </w:r>
      <w:r w:rsidRPr="00C428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évolué avec la mise en place sur les</w:t>
      </w:r>
      <w:r w:rsidRPr="00C428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 xml:space="preserve">plus-values de la « flat </w:t>
      </w:r>
      <w:proofErr w:type="spellStart"/>
      <w:r w:rsidRPr="00C42823">
        <w:rPr>
          <w:rFonts w:ascii="Arial" w:hAnsi="Arial" w:cs="Arial"/>
          <w:sz w:val="20"/>
          <w:szCs w:val="20"/>
        </w:rPr>
        <w:t>tax</w:t>
      </w:r>
      <w:proofErr w:type="spellEnd"/>
      <w:r w:rsidRPr="00C42823">
        <w:rPr>
          <w:rFonts w:ascii="Arial" w:hAnsi="Arial" w:cs="Arial"/>
          <w:sz w:val="20"/>
          <w:szCs w:val="20"/>
        </w:rPr>
        <w:t xml:space="preserve"> », ou régime du prélèvement forfaitaire unique (PFU), avec toujours la possibilité d’opter pour la réintégration dans les revenus si c’est plus avantageux pour l’épargnant.</w:t>
      </w:r>
    </w:p>
    <w:p w14:paraId="758C2B00" w14:textId="77777777" w:rsidR="00430275" w:rsidRPr="00C42823" w:rsidRDefault="00430275" w:rsidP="00C428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D5A832E" w14:textId="77777777" w:rsidR="00731AE0" w:rsidRPr="00C42823" w:rsidRDefault="00731AE0" w:rsidP="00C428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42823">
        <w:rPr>
          <w:rFonts w:ascii="Segoe UI Symbol" w:eastAsia="MS Gothic" w:hAnsi="Segoe UI Symbol" w:cs="Segoe UI Symbol"/>
          <w:sz w:val="20"/>
          <w:szCs w:val="20"/>
        </w:rPr>
        <w:t>➤</w:t>
      </w:r>
      <w:r w:rsidRPr="00C42823">
        <w:rPr>
          <w:rFonts w:ascii="Arial" w:eastAsia="ZapfDingbatsITC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Pour tous les versements sur un contrat d’assurance-vie postérieurs au 26 septembre 2017, les gains sont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taxés à hauteur de 30 % (12,8 %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d’impôt sur le revenu et 17,2 %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de prélèvements sociaux) pour les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contrats ouverts il y a moins de 8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ans. Pour les versements antérieurs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au 26 Septembre 2017, la taxation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forfaitaire est de 35 % si le contrat a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entre 0 et 4 ans et 15 % entre 4 et 8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ans plus prélèvements sociaux.</w:t>
      </w:r>
    </w:p>
    <w:p w14:paraId="34675002" w14:textId="77777777" w:rsidR="00430275" w:rsidRPr="00C42823" w:rsidRDefault="00430275" w:rsidP="00C428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A751D76" w14:textId="77777777" w:rsidR="00430275" w:rsidRPr="00C42823" w:rsidRDefault="00731AE0" w:rsidP="00C428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42823">
        <w:rPr>
          <w:rFonts w:ascii="Segoe UI Symbol" w:eastAsia="MS Gothic" w:hAnsi="Segoe UI Symbol" w:cs="Segoe UI Symbol"/>
          <w:sz w:val="20"/>
          <w:szCs w:val="20"/>
        </w:rPr>
        <w:t>➤</w:t>
      </w:r>
      <w:r w:rsidRPr="00C42823">
        <w:rPr>
          <w:rFonts w:ascii="Arial" w:eastAsia="ZapfDingbatsITC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Pour les contrats de plus de 8 ans,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la taxation passe à 24,7 % (7,5 %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d’impôt sur le revenu + 17,2 % de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prélèvements sociaux), si le total des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versements est inférieur à 150 000 €.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Au-delà, de 150 000 €, la fiscalité sur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la part des plus-values générées par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ces sommes reste à 30 %. Et il est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important de savoir qu’à partir du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8e anniversaire du contrat, le régime de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l’assurance-vie permet de bénéficier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d’un abattement annuel de 4 600 €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pour un célibataire et de 9 200 € pour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un couple soumis à une imposition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 xml:space="preserve">commune sur les intérêts ou </w:t>
      </w:r>
      <w:r w:rsidR="00430275" w:rsidRPr="00C42823">
        <w:rPr>
          <w:rFonts w:ascii="Arial" w:hAnsi="Arial" w:cs="Arial"/>
          <w:sz w:val="20"/>
          <w:szCs w:val="20"/>
        </w:rPr>
        <w:t xml:space="preserve">plus-values </w:t>
      </w:r>
      <w:r w:rsidRPr="00C42823">
        <w:rPr>
          <w:rFonts w:ascii="Arial" w:hAnsi="Arial" w:cs="Arial"/>
          <w:sz w:val="20"/>
          <w:szCs w:val="20"/>
        </w:rPr>
        <w:t>assujetties à l'IR ou au PFU.</w:t>
      </w:r>
    </w:p>
    <w:p w14:paraId="79F835AB" w14:textId="77777777" w:rsidR="00430275" w:rsidRPr="00C42823" w:rsidRDefault="00430275" w:rsidP="00C428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22FE06D" w14:textId="77777777" w:rsidR="00430275" w:rsidRPr="00C42823" w:rsidRDefault="00731AE0" w:rsidP="00C428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42823">
        <w:rPr>
          <w:rFonts w:ascii="Segoe UI Symbol" w:eastAsia="MS Gothic" w:hAnsi="Segoe UI Symbol" w:cs="Segoe UI Symbol"/>
          <w:sz w:val="20"/>
          <w:szCs w:val="20"/>
        </w:rPr>
        <w:t>➤</w:t>
      </w:r>
      <w:r w:rsidRPr="00C42823">
        <w:rPr>
          <w:rFonts w:ascii="Arial" w:eastAsia="ZapfDingbatsITC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En outre, l’assurance-vie n'est pas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soumise à l'impôt sur la fortune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immobilière, à l’exception des fonds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composés d'actifs immobiliers (SCPI,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OPCI, par exemple).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</w:p>
    <w:p w14:paraId="41C18074" w14:textId="77777777" w:rsidR="00430275" w:rsidRPr="00C42823" w:rsidRDefault="00430275" w:rsidP="00C428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769A73A" w14:textId="77777777" w:rsidR="00430275" w:rsidRPr="00C42823" w:rsidRDefault="00731AE0" w:rsidP="00C428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42823">
        <w:rPr>
          <w:rFonts w:ascii="Arial" w:hAnsi="Arial" w:cs="Arial"/>
          <w:sz w:val="20"/>
          <w:szCs w:val="20"/>
        </w:rPr>
        <w:t>En matière de transmission,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l’assurance-vie présente le grand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avantage d’offrir un abattement de 152 500 € par bénéficiaire pour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l’épargne versée avant l’âge de 70 ans,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quel que soit le lien de parenté, ce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qui permet d’exempter de droits de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succession beaucoup de transmissions.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Au-delà, c’est une taxation forfaitaire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lastRenderedPageBreak/>
        <w:t>de 20 % jusqu’à 852 500 € et de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31,25 % au-delà. Pour les versements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effectués après 70 ans, l’abattement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est abaissé à 30 500 € pour l'ensemble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des bénéficiaires, mais se cumule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avec les abattements applicables aux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versements antérieurs aux 70 ans. Les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bénéficiaires paieront des droits de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succession sur la fraction des primes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versées qui excèdent l'abattement (l</w:t>
      </w:r>
      <w:r w:rsidR="00430275" w:rsidRPr="00C42823">
        <w:rPr>
          <w:rFonts w:ascii="Arial" w:hAnsi="Arial" w:cs="Arial"/>
          <w:sz w:val="20"/>
          <w:szCs w:val="20"/>
        </w:rPr>
        <w:t xml:space="preserve">es </w:t>
      </w:r>
      <w:r w:rsidRPr="00C42823">
        <w:rPr>
          <w:rFonts w:ascii="Arial" w:hAnsi="Arial" w:cs="Arial"/>
          <w:sz w:val="20"/>
          <w:szCs w:val="20"/>
        </w:rPr>
        <w:t>intérêts ou plus-values sont exonérés).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Le choix du bénéficiaire ainsi que le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montant du capital perçu au décès du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souscripteur sont totalement libres, et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peuvent par ailleurs être modifiés au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cours du contrat. C’est une solution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de choix pour assurer par exemple un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capital décès au partenaire de Pacs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et au concubin qui, contrairement aux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époux, sont exclus de la succession. Et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elle est particulièrement avantageuse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pour les concubins, qui ne bénéficient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d’aucun abattement en matière de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transmission et d’exonération de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droits de succession, contrairement au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partenaire Pacsé.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</w:p>
    <w:p w14:paraId="6B4121AD" w14:textId="77777777" w:rsidR="00430275" w:rsidRPr="00C42823" w:rsidRDefault="00430275" w:rsidP="00C428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CB5E03C" w14:textId="77777777" w:rsidR="00430275" w:rsidRPr="00C42823" w:rsidRDefault="00731AE0" w:rsidP="00C428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42823">
        <w:rPr>
          <w:rFonts w:ascii="Arial" w:hAnsi="Arial" w:cs="Arial"/>
          <w:sz w:val="20"/>
          <w:szCs w:val="20"/>
        </w:rPr>
        <w:t>Attention toutefois à la notion de primes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manifestement exagérée et au moment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où les fonds sont versés sur le contrat,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l'aléa de la durée de vie devant être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respecté.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</w:p>
    <w:p w14:paraId="28683757" w14:textId="77777777" w:rsidR="00430275" w:rsidRPr="00C42823" w:rsidRDefault="00430275" w:rsidP="00C428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1FBA67" w14:textId="77777777" w:rsidR="00C96036" w:rsidRPr="00C42823" w:rsidRDefault="00731AE0" w:rsidP="00C428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42823">
        <w:rPr>
          <w:rFonts w:ascii="Arial" w:hAnsi="Arial" w:cs="Arial"/>
          <w:sz w:val="20"/>
          <w:szCs w:val="20"/>
        </w:rPr>
        <w:t>Enfin, il faut noter qu'il est tout à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fait possible d’ouvrir un contrat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 xml:space="preserve">d’assurance-vie en </w:t>
      </w:r>
      <w:proofErr w:type="spellStart"/>
      <w:r w:rsidRPr="00C42823">
        <w:rPr>
          <w:rFonts w:ascii="Arial" w:hAnsi="Arial" w:cs="Arial"/>
          <w:sz w:val="20"/>
          <w:szCs w:val="20"/>
        </w:rPr>
        <w:t>co</w:t>
      </w:r>
      <w:proofErr w:type="spellEnd"/>
      <w:r w:rsidRPr="00C42823">
        <w:rPr>
          <w:rFonts w:ascii="Arial" w:hAnsi="Arial" w:cs="Arial"/>
          <w:sz w:val="20"/>
          <w:szCs w:val="20"/>
        </w:rPr>
        <w:t>-adhésion avec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son époux/épouse et de prévoir son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dénouement au premier ou au deuxième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décès. Ainsi, pour un couple marié sous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le régime de la communauté universelle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avec clause d’attribution intégrale de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la communauté, au décès de l’un des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époux, il est possible de prévoir que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seul le survivant sera titulaire des droits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attachés au contrat d’assurance-vie :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l’intégralité du contrat d’assurance-vie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échappera ainsi aux droits de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succession au premier décès.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Il est aussi possible d'utiliser la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souplesse de l'assurance-vie pour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favoriser ses petits-enfants. Ainsi,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notamment, il peut être intéressant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pour des grands-parents qui souhaitent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 xml:space="preserve">donner des liquidités à leurs </w:t>
      </w:r>
      <w:r w:rsidR="00430275" w:rsidRPr="00C42823">
        <w:rPr>
          <w:rFonts w:ascii="Arial" w:hAnsi="Arial" w:cs="Arial"/>
          <w:sz w:val="20"/>
          <w:szCs w:val="20"/>
        </w:rPr>
        <w:t xml:space="preserve">petits-enfants </w:t>
      </w:r>
      <w:r w:rsidRPr="00C42823">
        <w:rPr>
          <w:rFonts w:ascii="Arial" w:hAnsi="Arial" w:cs="Arial"/>
          <w:sz w:val="20"/>
          <w:szCs w:val="20"/>
        </w:rPr>
        <w:t>dans le cadre de la cession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de leur entreprise de bloquer les fonds</w:t>
      </w:r>
      <w:r w:rsidR="00430275" w:rsidRPr="00C42823">
        <w:rPr>
          <w:rFonts w:ascii="Arial" w:hAnsi="Arial" w:cs="Arial"/>
          <w:sz w:val="20"/>
          <w:szCs w:val="20"/>
        </w:rPr>
        <w:t xml:space="preserve"> </w:t>
      </w:r>
      <w:r w:rsidRPr="00C42823">
        <w:rPr>
          <w:rFonts w:ascii="Arial" w:hAnsi="Arial" w:cs="Arial"/>
          <w:sz w:val="20"/>
          <w:szCs w:val="20"/>
        </w:rPr>
        <w:t>transmis jusqu'à un certain âge.</w:t>
      </w:r>
    </w:p>
    <w:sectPr w:rsidR="00C96036" w:rsidRPr="00C42823" w:rsidSect="00C4282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ZapfDingbatsITC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AE0"/>
    <w:rsid w:val="002553B2"/>
    <w:rsid w:val="003D7DD4"/>
    <w:rsid w:val="00430275"/>
    <w:rsid w:val="00731AE0"/>
    <w:rsid w:val="00C42823"/>
    <w:rsid w:val="00C96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18C41"/>
  <w15:chartTrackingRefBased/>
  <w15:docId w15:val="{CDF56A09-48DE-4CA4-AC9A-0A5A7F6B0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1AE0"/>
  </w:style>
  <w:style w:type="paragraph" w:styleId="Titre1">
    <w:name w:val="heading 1"/>
    <w:basedOn w:val="Normal"/>
    <w:next w:val="Normal"/>
    <w:link w:val="Titre1Car"/>
    <w:uiPriority w:val="9"/>
    <w:qFormat/>
    <w:rsid w:val="00731AE0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31AE0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31AE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31AE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31AE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31AE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31AE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31AE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31AE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31AE0"/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semiHidden/>
    <w:rsid w:val="00731AE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31AE0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31AE0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731AE0"/>
    <w:rPr>
      <w:rFonts w:asciiTheme="majorHAnsi" w:eastAsiaTheme="majorEastAsia" w:hAnsiTheme="majorHAnsi" w:cstheme="majorBidi"/>
      <w:caps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31AE0"/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character" w:customStyle="1" w:styleId="Titre7Car">
    <w:name w:val="Titre 7 Car"/>
    <w:basedOn w:val="Policepardfaut"/>
    <w:link w:val="Titre7"/>
    <w:uiPriority w:val="9"/>
    <w:semiHidden/>
    <w:rsid w:val="00731AE0"/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character" w:customStyle="1" w:styleId="Titre8Car">
    <w:name w:val="Titre 8 Car"/>
    <w:basedOn w:val="Policepardfaut"/>
    <w:link w:val="Titre8"/>
    <w:uiPriority w:val="9"/>
    <w:semiHidden/>
    <w:rsid w:val="00731AE0"/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character" w:customStyle="1" w:styleId="Titre9Car">
    <w:name w:val="Titre 9 Car"/>
    <w:basedOn w:val="Policepardfaut"/>
    <w:link w:val="Titre9"/>
    <w:uiPriority w:val="9"/>
    <w:semiHidden/>
    <w:rsid w:val="00731AE0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731AE0"/>
    <w:pPr>
      <w:spacing w:line="240" w:lineRule="auto"/>
    </w:pPr>
    <w:rPr>
      <w:b/>
      <w:bCs/>
      <w:smallCaps/>
      <w:color w:val="44546A" w:themeColor="text2"/>
    </w:rPr>
  </w:style>
  <w:style w:type="paragraph" w:styleId="Titre">
    <w:name w:val="Title"/>
    <w:basedOn w:val="Normal"/>
    <w:next w:val="Normal"/>
    <w:link w:val="TitreCar"/>
    <w:uiPriority w:val="10"/>
    <w:qFormat/>
    <w:rsid w:val="00731AE0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reCar">
    <w:name w:val="Titre Car"/>
    <w:basedOn w:val="Policepardfaut"/>
    <w:link w:val="Titre"/>
    <w:uiPriority w:val="10"/>
    <w:rsid w:val="00731AE0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31AE0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31AE0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lev">
    <w:name w:val="Strong"/>
    <w:basedOn w:val="Policepardfaut"/>
    <w:uiPriority w:val="22"/>
    <w:qFormat/>
    <w:rsid w:val="00731AE0"/>
    <w:rPr>
      <w:b/>
      <w:bCs/>
    </w:rPr>
  </w:style>
  <w:style w:type="character" w:styleId="Accentuation">
    <w:name w:val="Emphasis"/>
    <w:basedOn w:val="Policepardfaut"/>
    <w:uiPriority w:val="20"/>
    <w:qFormat/>
    <w:rsid w:val="00731AE0"/>
    <w:rPr>
      <w:i/>
      <w:iCs/>
    </w:rPr>
  </w:style>
  <w:style w:type="paragraph" w:styleId="Sansinterligne">
    <w:name w:val="No Spacing"/>
    <w:uiPriority w:val="1"/>
    <w:qFormat/>
    <w:rsid w:val="00731AE0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731AE0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731AE0"/>
    <w:rPr>
      <w:color w:val="44546A" w:themeColor="text2"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31AE0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31AE0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731AE0"/>
    <w:rPr>
      <w:i/>
      <w:iCs/>
      <w:color w:val="595959" w:themeColor="text1" w:themeTint="A6"/>
    </w:rPr>
  </w:style>
  <w:style w:type="character" w:styleId="Accentuationintense">
    <w:name w:val="Intense Emphasis"/>
    <w:basedOn w:val="Policepardfaut"/>
    <w:uiPriority w:val="21"/>
    <w:qFormat/>
    <w:rsid w:val="00731AE0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731AE0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frenceintense">
    <w:name w:val="Intense Reference"/>
    <w:basedOn w:val="Policepardfaut"/>
    <w:uiPriority w:val="32"/>
    <w:qFormat/>
    <w:rsid w:val="00731AE0"/>
    <w:rPr>
      <w:b/>
      <w:bCs/>
      <w:smallCaps/>
      <w:color w:val="44546A" w:themeColor="text2"/>
      <w:u w:val="single"/>
    </w:rPr>
  </w:style>
  <w:style w:type="character" w:styleId="Titredulivre">
    <w:name w:val="Book Title"/>
    <w:basedOn w:val="Policepardfaut"/>
    <w:uiPriority w:val="33"/>
    <w:qFormat/>
    <w:rsid w:val="00731AE0"/>
    <w:rPr>
      <w:b/>
      <w:bCs/>
      <w:smallCaps/>
      <w:spacing w:val="1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31AE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FB4B7F30684742B6258A9D9D25C0B8" ma:contentTypeVersion="7" ma:contentTypeDescription="Crée un document." ma:contentTypeScope="" ma:versionID="ae00dc0daf02cc2d2d2545bed329a3f6">
  <xsd:schema xmlns:xsd="http://www.w3.org/2001/XMLSchema" xmlns:xs="http://www.w3.org/2001/XMLSchema" xmlns:p="http://schemas.microsoft.com/office/2006/metadata/properties" xmlns:ns2="6d5251b5-7821-43d1-9086-a780a8122b2b" targetNamespace="http://schemas.microsoft.com/office/2006/metadata/properties" ma:root="true" ma:fieldsID="6cc25772f72e3ea954b34a94ffeb7d3a" ns2:_="">
    <xsd:import namespace="6d5251b5-7821-43d1-9086-a780a8122b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5251b5-7821-43d1-9086-a780a8122b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75402-D3A0-43F6-8DC7-51E9D73F59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2D14201-1152-4096-A85F-8B9A9F04ED00}"/>
</file>

<file path=customXml/itemProps3.xml><?xml version="1.0" encoding="utf-8"?>
<ds:datastoreItem xmlns:ds="http://schemas.openxmlformats.org/officeDocument/2006/customXml" ds:itemID="{BC36C247-F177-469B-9258-9D980E7792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60E94A-07DC-4B6E-B133-D1F65A5F9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846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Malicia D'ANNA</dc:creator>
  <cp:keywords/>
  <dc:description/>
  <cp:lastModifiedBy>Martial</cp:lastModifiedBy>
  <cp:revision>3</cp:revision>
  <dcterms:created xsi:type="dcterms:W3CDTF">2020-10-28T08:29:00Z</dcterms:created>
  <dcterms:modified xsi:type="dcterms:W3CDTF">2021-04-14T08:23:00Z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0x01010058FB4B7F30684742B6258A9D9D25C0B8</vt:lpwstr>
  </property>
</Properties>
</file>